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6E39C" w14:textId="77777777" w:rsidR="00A36146" w:rsidRDefault="00A36146" w:rsidP="00A36146">
      <w:pPr>
        <w:keepNext/>
        <w:keepLines/>
        <w:spacing w:before="360" w:line="259" w:lineRule="auto"/>
        <w:outlineLvl w:val="1"/>
        <w:rPr>
          <w:rFonts w:ascii="Arial" w:eastAsia="Yu Gothic Light" w:hAnsi="Arial" w:cs="Arial"/>
          <w:b/>
          <w:bCs/>
          <w:color w:val="000000"/>
          <w:sz w:val="28"/>
          <w:szCs w:val="28"/>
          <w:lang w:eastAsia="en-GB"/>
        </w:rPr>
      </w:pPr>
    </w:p>
    <w:p w14:paraId="1A780E75" w14:textId="0D0CD292" w:rsidR="00A36146" w:rsidRPr="00882908" w:rsidRDefault="00A36146" w:rsidP="00A36146">
      <w:pPr>
        <w:keepNext/>
        <w:keepLines/>
        <w:spacing w:before="360" w:line="259" w:lineRule="auto"/>
        <w:jc w:val="center"/>
        <w:outlineLvl w:val="1"/>
        <w:rPr>
          <w:rFonts w:ascii="Arial" w:eastAsia="Yu Gothic Light" w:hAnsi="Arial" w:cs="Arial"/>
          <w:b/>
          <w:bCs/>
          <w:smallCaps/>
          <w:color w:val="000000"/>
          <w:sz w:val="28"/>
          <w:szCs w:val="28"/>
          <w:lang w:eastAsia="en-GB"/>
        </w:rPr>
      </w:pPr>
      <w:r>
        <w:rPr>
          <w:rFonts w:ascii="Arial" w:eastAsia="Yu Gothic Light" w:hAnsi="Arial" w:cs="Arial"/>
          <w:b/>
          <w:bCs/>
          <w:color w:val="000000"/>
          <w:sz w:val="28"/>
          <w:szCs w:val="28"/>
          <w:lang w:eastAsia="en-GB"/>
        </w:rPr>
        <w:t>Infection Control Annual Statement Report</w:t>
      </w:r>
    </w:p>
    <w:p w14:paraId="0ACF6444" w14:textId="77777777" w:rsidR="00A36146" w:rsidRDefault="00A36146" w:rsidP="00A36146">
      <w:pPr>
        <w:spacing w:before="100" w:beforeAutospacing="1" w:after="100" w:afterAutospacing="1"/>
        <w:rPr>
          <w:rFonts w:ascii="Arial" w:hAnsi="Arial" w:cs="Arial"/>
          <w:sz w:val="22"/>
          <w:szCs w:val="22"/>
          <w:lang w:val="en-GB" w:eastAsia="en-GB"/>
        </w:rPr>
      </w:pPr>
      <w:r>
        <w:t>Unsworth Group</w:t>
      </w:r>
    </w:p>
    <w:p w14:paraId="51463C4D" w14:textId="77777777" w:rsidR="00A36146" w:rsidRDefault="00A36146" w:rsidP="00A36146">
      <w:pPr>
        <w:spacing w:before="100" w:beforeAutospacing="1" w:after="100" w:afterAutospacing="1"/>
        <w:rPr>
          <w:rFonts w:ascii="Arial" w:hAnsi="Arial" w:cs="Arial"/>
          <w:sz w:val="22"/>
          <w:szCs w:val="22"/>
          <w:lang w:val="en-GB" w:eastAsia="en-GB"/>
        </w:rPr>
      </w:pPr>
      <w:r>
        <w:rPr>
          <w:rFonts w:ascii="Arial"/>
          <w:sz w:val="22"/>
        </w:rPr>
        <w:t>27/11/2025</w:t>
      </w:r>
    </w:p>
    <w:p w14:paraId="0E842746" w14:textId="77777777" w:rsidR="00A36146" w:rsidRDefault="00A36146" w:rsidP="00A36146">
      <w:pPr>
        <w:spacing w:before="100" w:beforeAutospacing="1" w:after="100" w:afterAutospacing="1"/>
        <w:rPr>
          <w:rFonts w:ascii="Arial" w:hAnsi="Arial" w:cs="Arial"/>
          <w:b/>
          <w:lang w:val="en-GB" w:eastAsia="en-GB"/>
        </w:rPr>
      </w:pPr>
      <w:r>
        <w:rPr>
          <w:rFonts w:ascii="Arial" w:hAnsi="Arial" w:cs="Arial"/>
          <w:b/>
          <w:lang w:val="en-GB" w:eastAsia="en-GB"/>
        </w:rPr>
        <w:t xml:space="preserve">Purpose  </w:t>
      </w:r>
    </w:p>
    <w:p w14:paraId="7EE35EF9" w14:textId="77777777" w:rsidR="00A36146" w:rsidRDefault="00A36146" w:rsidP="00A36146">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This annual statement will be generated each year in May in accordance with the requirements of the </w:t>
      </w:r>
      <w:hyperlink r:id="rId7" w:history="1">
        <w:r w:rsidRPr="00657E98">
          <w:rPr>
            <w:rFonts w:ascii="Arial" w:hAnsi="Arial" w:cs="Arial"/>
            <w:color w:val="0563C1"/>
            <w:sz w:val="22"/>
            <w:szCs w:val="22"/>
            <w:u w:val="single"/>
            <w:lang w:val="en-GB" w:eastAsia="en-GB"/>
          </w:rPr>
          <w:t>Health and Social Care Act 2008 Code of Practice</w:t>
        </w:r>
      </w:hyperlink>
      <w:r>
        <w:rPr>
          <w:rFonts w:ascii="Arial" w:hAnsi="Arial" w:cs="Arial"/>
          <w:sz w:val="22"/>
          <w:szCs w:val="22"/>
          <w:lang w:val="en-GB" w:eastAsia="en-GB"/>
        </w:rPr>
        <w:t xml:space="preserve"> on the prevention and control of infections and related guidance. The report will be published on the practice website and will include the following summary: </w:t>
      </w:r>
    </w:p>
    <w:p w14:paraId="73BF7FA6" w14:textId="77777777" w:rsidR="00A36146" w:rsidRDefault="00A36146" w:rsidP="00A36146">
      <w:pPr>
        <w:numPr>
          <w:ilvl w:val="0"/>
          <w:numId w:val="1"/>
        </w:numPr>
        <w:spacing w:before="100" w:beforeAutospacing="1" w:after="100" w:afterAutospacing="1"/>
        <w:contextualSpacing/>
        <w:rPr>
          <w:rFonts w:ascii="Arial" w:hAnsi="Arial" w:cs="Arial"/>
          <w:sz w:val="22"/>
          <w:szCs w:val="22"/>
          <w:lang w:val="en-GB" w:eastAsia="en-GB"/>
        </w:rPr>
      </w:pPr>
      <w:r>
        <w:rPr>
          <w:rFonts w:ascii="Arial" w:hAnsi="Arial" w:cs="Arial"/>
          <w:sz w:val="22"/>
          <w:szCs w:val="22"/>
          <w:lang w:val="en-GB" w:eastAsia="en-GB"/>
        </w:rPr>
        <w:t xml:space="preserve">Any infection transmission incidents and any action taken (these will have been reported in accordance with our significant event procedure) </w:t>
      </w:r>
    </w:p>
    <w:p w14:paraId="1490F3A0" w14:textId="77777777" w:rsidR="00A36146" w:rsidRDefault="00A36146" w:rsidP="00A36146">
      <w:pPr>
        <w:numPr>
          <w:ilvl w:val="0"/>
          <w:numId w:val="1"/>
        </w:numPr>
        <w:spacing w:before="100" w:beforeAutospacing="1" w:after="100" w:afterAutospacing="1"/>
        <w:contextualSpacing/>
        <w:rPr>
          <w:rFonts w:ascii="Arial" w:hAnsi="Arial" w:cs="Arial"/>
          <w:sz w:val="22"/>
          <w:szCs w:val="22"/>
          <w:lang w:val="en-GB" w:eastAsia="en-GB"/>
        </w:rPr>
      </w:pPr>
      <w:r>
        <w:rPr>
          <w:rFonts w:ascii="Arial" w:hAnsi="Arial" w:cs="Arial"/>
          <w:sz w:val="22"/>
          <w:szCs w:val="22"/>
          <w:lang w:val="en-GB" w:eastAsia="en-GB"/>
        </w:rPr>
        <w:t xml:space="preserve">Details of any infection control audits undertaken and actions undertaken </w:t>
      </w:r>
    </w:p>
    <w:p w14:paraId="17DEFF65" w14:textId="77777777" w:rsidR="00A36146" w:rsidRDefault="00A36146" w:rsidP="00A36146">
      <w:pPr>
        <w:numPr>
          <w:ilvl w:val="0"/>
          <w:numId w:val="1"/>
        </w:numPr>
        <w:spacing w:before="100" w:beforeAutospacing="1" w:after="100" w:afterAutospacing="1"/>
        <w:contextualSpacing/>
        <w:rPr>
          <w:rFonts w:ascii="Arial" w:hAnsi="Arial" w:cs="Arial"/>
          <w:sz w:val="22"/>
          <w:szCs w:val="22"/>
          <w:lang w:val="en-GB" w:eastAsia="en-GB"/>
        </w:rPr>
      </w:pPr>
      <w:r>
        <w:rPr>
          <w:rFonts w:ascii="Arial" w:hAnsi="Arial" w:cs="Arial"/>
          <w:sz w:val="22"/>
          <w:szCs w:val="22"/>
          <w:lang w:val="en-GB" w:eastAsia="en-GB"/>
        </w:rPr>
        <w:t>Details of any risk assessments undertaken for the prevention and control of infection</w:t>
      </w:r>
    </w:p>
    <w:p w14:paraId="60F876FE" w14:textId="77777777" w:rsidR="00A36146" w:rsidRDefault="00A36146" w:rsidP="00A36146">
      <w:pPr>
        <w:numPr>
          <w:ilvl w:val="0"/>
          <w:numId w:val="1"/>
        </w:numPr>
        <w:spacing w:before="100" w:beforeAutospacing="1" w:after="100" w:afterAutospacing="1"/>
        <w:contextualSpacing/>
        <w:rPr>
          <w:rFonts w:ascii="Arial" w:hAnsi="Arial" w:cs="Arial"/>
          <w:sz w:val="22"/>
          <w:szCs w:val="22"/>
          <w:lang w:val="en-GB" w:eastAsia="en-GB"/>
        </w:rPr>
      </w:pPr>
      <w:r>
        <w:rPr>
          <w:rFonts w:ascii="Arial" w:hAnsi="Arial" w:cs="Arial"/>
          <w:sz w:val="22"/>
          <w:szCs w:val="22"/>
          <w:lang w:val="en-GB" w:eastAsia="en-GB"/>
        </w:rPr>
        <w:t xml:space="preserve">Details of staff training </w:t>
      </w:r>
    </w:p>
    <w:p w14:paraId="36F9DC0B" w14:textId="77777777" w:rsidR="00A36146" w:rsidRDefault="00A36146" w:rsidP="00A36146">
      <w:pPr>
        <w:numPr>
          <w:ilvl w:val="0"/>
          <w:numId w:val="1"/>
        </w:numPr>
        <w:spacing w:before="100" w:beforeAutospacing="1" w:after="100" w:afterAutospacing="1"/>
        <w:contextualSpacing/>
        <w:rPr>
          <w:rFonts w:ascii="Arial" w:hAnsi="Arial" w:cs="Arial"/>
          <w:sz w:val="22"/>
          <w:szCs w:val="22"/>
          <w:lang w:val="en-GB" w:eastAsia="en-GB"/>
        </w:rPr>
      </w:pPr>
      <w:r>
        <w:rPr>
          <w:rFonts w:ascii="Arial" w:hAnsi="Arial" w:cs="Arial"/>
          <w:sz w:val="22"/>
          <w:szCs w:val="22"/>
          <w:lang w:val="en-GB" w:eastAsia="en-GB"/>
        </w:rPr>
        <w:t xml:space="preserve">Any review and update of policies, procedures and guidelines  </w:t>
      </w:r>
    </w:p>
    <w:p w14:paraId="2A7B6FCF" w14:textId="77777777" w:rsidR="00A36146" w:rsidRDefault="00A36146" w:rsidP="00A36146">
      <w:pPr>
        <w:spacing w:before="100" w:beforeAutospacing="1" w:after="100" w:afterAutospacing="1"/>
        <w:ind w:left="720"/>
        <w:contextualSpacing/>
        <w:rPr>
          <w:rFonts w:ascii="Arial" w:hAnsi="Arial" w:cs="Arial"/>
          <w:sz w:val="22"/>
          <w:szCs w:val="22"/>
          <w:lang w:val="en-GB" w:eastAsia="en-GB"/>
        </w:rPr>
      </w:pPr>
    </w:p>
    <w:p w14:paraId="5C7D1B8F" w14:textId="77777777" w:rsidR="00A36146" w:rsidRDefault="00A36146" w:rsidP="00A36146">
      <w:pPr>
        <w:rPr>
          <w:rFonts w:ascii="Arial" w:eastAsia="Calibri" w:hAnsi="Arial" w:cs="Arial"/>
          <w:b/>
          <w:lang w:val="en-GB" w:eastAsia="en-GB"/>
        </w:rPr>
      </w:pPr>
      <w:r>
        <w:rPr>
          <w:rFonts w:ascii="Arial" w:hAnsi="Arial" w:cs="Arial"/>
          <w:b/>
          <w:lang w:val="en-GB" w:eastAsia="en-GB"/>
        </w:rPr>
        <w:t xml:space="preserve">Infection Prevention and Control (IPC) lead </w:t>
      </w:r>
    </w:p>
    <w:p w14:paraId="4697221A" w14:textId="77777777" w:rsidR="00A36146" w:rsidRDefault="00A36146" w:rsidP="00A36146">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The lead for infection prevention and control at Unsworth Group is Chloe Johnson – Practice Nurse.  </w:t>
      </w:r>
    </w:p>
    <w:p w14:paraId="2F042187" w14:textId="77777777" w:rsidR="00A36146" w:rsidRDefault="00A36146" w:rsidP="00A36146">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The IPC lead is supported by Stephanie Moore - Business &amp; Governance Manager.  </w:t>
      </w:r>
    </w:p>
    <w:p w14:paraId="4C8708F7" w14:textId="77777777" w:rsidR="00A36146" w:rsidRDefault="00A36146" w:rsidP="00A36146">
      <w:pPr>
        <w:spacing w:before="100" w:beforeAutospacing="1" w:after="100" w:afterAutospacing="1"/>
        <w:rPr>
          <w:rFonts w:ascii="Arial" w:hAnsi="Arial" w:cs="Arial"/>
          <w:b/>
          <w:sz w:val="22"/>
          <w:szCs w:val="22"/>
          <w:lang w:val="en-GB" w:eastAsia="en-GB"/>
        </w:rPr>
      </w:pPr>
      <w:r>
        <w:rPr>
          <w:rFonts w:ascii="Arial" w:hAnsi="Arial" w:cs="Arial"/>
          <w:b/>
          <w:sz w:val="22"/>
          <w:szCs w:val="22"/>
          <w:lang w:val="en-GB" w:eastAsia="en-GB"/>
        </w:rPr>
        <w:t>a.</w:t>
      </w:r>
      <w:r>
        <w:rPr>
          <w:rFonts w:ascii="Arial" w:hAnsi="Arial" w:cs="Arial"/>
          <w:b/>
          <w:sz w:val="22"/>
          <w:szCs w:val="22"/>
        </w:rPr>
        <w:tab/>
        <w:t xml:space="preserve">Infection transmission incidents (significant events) </w:t>
      </w:r>
    </w:p>
    <w:p w14:paraId="736FCC29" w14:textId="77777777" w:rsidR="00A36146" w:rsidRDefault="00A36146" w:rsidP="00A36146">
      <w:pPr>
        <w:spacing w:before="100" w:beforeAutospacing="1" w:after="100" w:afterAutospacing="1"/>
        <w:ind w:left="709"/>
        <w:rPr>
          <w:rFonts w:ascii="Arial" w:hAnsi="Arial" w:cs="Arial"/>
          <w:sz w:val="22"/>
          <w:szCs w:val="22"/>
          <w:lang w:val="en-GB" w:eastAsia="en-GB"/>
        </w:rPr>
      </w:pPr>
      <w:r>
        <w:rPr>
          <w:rFonts w:ascii="Arial" w:hAnsi="Arial" w:cs="Arial"/>
          <w:sz w:val="22"/>
          <w:szCs w:val="22"/>
          <w:lang w:val="en-GB" w:eastAsia="en-GB"/>
        </w:rPr>
        <w:t>Significant events involve examples of good practice as well as challenging events.</w:t>
      </w:r>
    </w:p>
    <w:p w14:paraId="22F83855" w14:textId="77777777" w:rsidR="00A36146" w:rsidRDefault="00A36146" w:rsidP="00A36146">
      <w:pPr>
        <w:spacing w:before="100" w:beforeAutospacing="1" w:after="100" w:afterAutospacing="1"/>
        <w:ind w:left="709"/>
        <w:rPr>
          <w:rFonts w:ascii="Arial" w:hAnsi="Arial" w:cs="Arial"/>
          <w:sz w:val="22"/>
          <w:szCs w:val="22"/>
          <w:lang w:val="en-GB" w:eastAsia="en-GB"/>
        </w:rPr>
      </w:pPr>
      <w:r>
        <w:rPr>
          <w:rFonts w:ascii="Arial" w:hAnsi="Arial" w:cs="Arial"/>
          <w:sz w:val="22"/>
          <w:szCs w:val="22"/>
          <w:lang w:val="en-GB" w:eastAsia="en-GB"/>
        </w:rPr>
        <w:t>Positive events are discussed at meetings to allow all staff to be appraised of areas of best practice.</w:t>
      </w:r>
    </w:p>
    <w:p w14:paraId="2795DD09" w14:textId="77777777" w:rsidR="00A36146" w:rsidRDefault="00A36146" w:rsidP="00A36146">
      <w:pPr>
        <w:spacing w:before="100" w:beforeAutospacing="1" w:after="100" w:afterAutospacing="1"/>
        <w:ind w:left="709"/>
        <w:rPr>
          <w:rFonts w:ascii="Arial" w:hAnsi="Arial" w:cs="Arial"/>
          <w:sz w:val="22"/>
          <w:szCs w:val="22"/>
          <w:lang w:val="en-GB" w:eastAsia="en-GB"/>
        </w:rPr>
      </w:pPr>
      <w:r>
        <w:rPr>
          <w:rFonts w:ascii="Arial" w:hAnsi="Arial" w:cs="Arial"/>
          <w:sz w:val="22"/>
          <w:szCs w:val="22"/>
          <w:lang w:val="en-GB" w:eastAsia="en-GB"/>
        </w:rPr>
        <w:t>Negative events are managed by the staff member who either identified or was advised of any potential shortcoming. This person will complete a Significant Event Analysis (SEA) form that commences an investigation process to establish what can be learnt and to indicate changes that might lead to future improvements.</w:t>
      </w:r>
    </w:p>
    <w:p w14:paraId="3B4D7909" w14:textId="77777777" w:rsidR="00A36146" w:rsidRDefault="00A36146" w:rsidP="00A36146">
      <w:pPr>
        <w:spacing w:before="100" w:beforeAutospacing="1" w:after="100" w:afterAutospacing="1"/>
        <w:ind w:left="709"/>
        <w:rPr>
          <w:rFonts w:ascii="Arial" w:hAnsi="Arial" w:cs="Arial"/>
          <w:sz w:val="22"/>
          <w:szCs w:val="22"/>
          <w:lang w:val="en-GB" w:eastAsia="en-GB"/>
        </w:rPr>
      </w:pPr>
      <w:r>
        <w:rPr>
          <w:rFonts w:ascii="Arial" w:hAnsi="Arial" w:cs="Arial"/>
          <w:sz w:val="22"/>
          <w:szCs w:val="22"/>
          <w:lang w:val="en-GB" w:eastAsia="en-GB"/>
        </w:rPr>
        <w:t xml:space="preserve">All significant events are reviewed and discussed at several meetings each month. Any learning points are cascaded to all relevant staff where an action plan, including audits or policy review, may follow. </w:t>
      </w:r>
    </w:p>
    <w:p w14:paraId="63FA4337" w14:textId="77777777" w:rsidR="00A36146" w:rsidRDefault="00A36146" w:rsidP="00A36146">
      <w:pPr>
        <w:spacing w:before="100" w:beforeAutospacing="1" w:after="100" w:afterAutospacing="1"/>
        <w:ind w:left="709"/>
        <w:rPr>
          <w:rFonts w:ascii="Arial" w:hAnsi="Arial" w:cs="Arial"/>
          <w:sz w:val="22"/>
          <w:szCs w:val="22"/>
          <w:lang w:val="en-GB" w:eastAsia="en-GB"/>
        </w:rPr>
      </w:pPr>
    </w:p>
    <w:p w14:paraId="5845A5A2" w14:textId="77777777" w:rsidR="00A36146" w:rsidRDefault="00A36146" w:rsidP="00A36146">
      <w:pPr>
        <w:spacing w:before="100" w:beforeAutospacing="1" w:after="100" w:afterAutospacing="1"/>
        <w:ind w:left="709"/>
        <w:rPr>
          <w:rFonts w:ascii="Arial" w:hAnsi="Arial" w:cs="Arial"/>
          <w:sz w:val="22"/>
          <w:szCs w:val="22"/>
          <w:lang w:val="en-GB" w:eastAsia="en-GB"/>
        </w:rPr>
      </w:pPr>
    </w:p>
    <w:p w14:paraId="51FFC126" w14:textId="77777777" w:rsidR="00A36146" w:rsidRDefault="00A36146" w:rsidP="00A36146">
      <w:pPr>
        <w:spacing w:before="100" w:beforeAutospacing="1" w:after="100" w:afterAutospacing="1"/>
        <w:ind w:left="709"/>
        <w:rPr>
          <w:rFonts w:ascii="Arial" w:hAnsi="Arial" w:cs="Arial"/>
          <w:sz w:val="22"/>
          <w:szCs w:val="22"/>
          <w:lang w:val="en-GB" w:eastAsia="en-GB"/>
        </w:rPr>
      </w:pPr>
    </w:p>
    <w:p w14:paraId="26293526" w14:textId="77777777" w:rsidR="00A36146" w:rsidRDefault="00A36146" w:rsidP="00A36146">
      <w:pPr>
        <w:spacing w:before="100" w:beforeAutospacing="1" w:after="100" w:afterAutospacing="1"/>
        <w:rPr>
          <w:rFonts w:ascii="Arial" w:hAnsi="Arial" w:cs="Arial"/>
          <w:b/>
          <w:sz w:val="22"/>
          <w:szCs w:val="22"/>
          <w:lang w:val="en-GB" w:eastAsia="en-GB"/>
        </w:rPr>
      </w:pPr>
      <w:r>
        <w:rPr>
          <w:rFonts w:ascii="Arial" w:hAnsi="Arial" w:cs="Arial"/>
          <w:b/>
          <w:sz w:val="22"/>
          <w:szCs w:val="22"/>
          <w:lang w:val="en-GB" w:eastAsia="en-GB"/>
        </w:rPr>
        <w:t>b.</w:t>
      </w:r>
      <w:r>
        <w:rPr>
          <w:rFonts w:ascii="Arial" w:hAnsi="Arial" w:cs="Arial"/>
          <w:b/>
          <w:sz w:val="22"/>
          <w:szCs w:val="22"/>
        </w:rPr>
        <w:tab/>
        <w:t xml:space="preserve">Infection prevention audit and actions </w:t>
      </w:r>
    </w:p>
    <w:p w14:paraId="5943676D" w14:textId="5BA1B190" w:rsidR="00A36146" w:rsidRPr="00CC538B" w:rsidRDefault="00A36146" w:rsidP="00A36146">
      <w:pPr>
        <w:spacing w:before="100" w:beforeAutospacing="1" w:after="100" w:afterAutospacing="1"/>
        <w:ind w:left="709"/>
        <w:rPr>
          <w:rFonts w:ascii="Arial" w:hAnsi="Arial" w:cs="Arial"/>
          <w:lang w:val="en-GB" w:eastAsia="en-GB"/>
        </w:rPr>
      </w:pPr>
      <w:r w:rsidRPr="00CC538B">
        <w:rPr>
          <w:rFonts w:ascii="Arial" w:hAnsi="Arial" w:cs="Arial"/>
          <w:lang w:val="en-GB" w:eastAsia="en-GB"/>
        </w:rPr>
        <w:t xml:space="preserve"> A yearly inspection is carried out on both Peter</w:t>
      </w:r>
      <w:r>
        <w:rPr>
          <w:rFonts w:ascii="Arial" w:hAnsi="Arial" w:cs="Arial"/>
          <w:lang w:val="en-GB" w:eastAsia="en-GB"/>
        </w:rPr>
        <w:t xml:space="preserve"> </w:t>
      </w:r>
      <w:r w:rsidRPr="00CC538B">
        <w:rPr>
          <w:rFonts w:ascii="Arial" w:hAnsi="Arial" w:cs="Arial"/>
          <w:lang w:val="en-GB" w:eastAsia="en-GB"/>
        </w:rPr>
        <w:t>house</w:t>
      </w:r>
      <w:r>
        <w:rPr>
          <w:rFonts w:ascii="Arial" w:hAnsi="Arial" w:cs="Arial"/>
          <w:lang w:val="en-GB" w:eastAsia="en-GB"/>
        </w:rPr>
        <w:t xml:space="preserve"> Surgery</w:t>
      </w:r>
      <w:r w:rsidRPr="00CC538B">
        <w:rPr>
          <w:rFonts w:ascii="Arial" w:hAnsi="Arial" w:cs="Arial"/>
          <w:lang w:val="en-GB" w:eastAsia="en-GB"/>
        </w:rPr>
        <w:t xml:space="preserve"> and Blackrod. With an action plan highlighting areas of concern and dated outcomes. </w:t>
      </w:r>
    </w:p>
    <w:p w14:paraId="09E3B3C4" w14:textId="77777777" w:rsidR="00A36146" w:rsidRDefault="00A36146" w:rsidP="00A36146">
      <w:pPr>
        <w:spacing w:before="100" w:beforeAutospacing="1" w:after="100" w:afterAutospacing="1"/>
        <w:rPr>
          <w:rFonts w:ascii="Arial" w:hAnsi="Arial" w:cs="Arial"/>
          <w:b/>
          <w:sz w:val="22"/>
          <w:szCs w:val="22"/>
          <w:lang w:val="en-GB" w:eastAsia="en-GB"/>
        </w:rPr>
      </w:pPr>
      <w:r>
        <w:rPr>
          <w:rFonts w:ascii="Arial" w:hAnsi="Arial" w:cs="Arial"/>
          <w:b/>
          <w:sz w:val="22"/>
          <w:szCs w:val="22"/>
          <w:lang w:val="en-GB" w:eastAsia="en-GB"/>
        </w:rPr>
        <w:t>c.</w:t>
      </w:r>
      <w:r>
        <w:rPr>
          <w:rFonts w:ascii="Arial" w:hAnsi="Arial" w:cs="Arial"/>
          <w:b/>
          <w:sz w:val="22"/>
          <w:szCs w:val="22"/>
        </w:rPr>
        <w:tab/>
        <w:t>Risk a</w:t>
      </w:r>
      <w:r>
        <w:rPr>
          <w:rFonts w:ascii="Arial" w:hAnsi="Arial" w:cs="Arial"/>
          <w:b/>
          <w:sz w:val="22"/>
          <w:szCs w:val="22"/>
          <w:lang w:val="en-GB" w:eastAsia="en-GB"/>
        </w:rPr>
        <w:t xml:space="preserve">ssessments  </w:t>
      </w:r>
    </w:p>
    <w:p w14:paraId="7F7420A5" w14:textId="77777777" w:rsidR="00A36146" w:rsidRDefault="00A36146" w:rsidP="00A36146">
      <w:pPr>
        <w:spacing w:before="100" w:beforeAutospacing="1" w:after="100" w:afterAutospacing="1"/>
        <w:ind w:left="709"/>
        <w:rPr>
          <w:rFonts w:ascii="Arial" w:hAnsi="Arial" w:cs="Arial"/>
          <w:sz w:val="22"/>
          <w:szCs w:val="22"/>
          <w:lang w:val="en-GB" w:eastAsia="en-GB"/>
        </w:rPr>
      </w:pPr>
      <w:r>
        <w:rPr>
          <w:rFonts w:ascii="Arial" w:hAnsi="Arial" w:cs="Arial"/>
          <w:sz w:val="22"/>
          <w:szCs w:val="22"/>
          <w:lang w:val="en-GB" w:eastAsia="en-GB"/>
        </w:rPr>
        <w:t>Risk assessments are carried out so that any risk is minimised to be as low as reasonably practicable. Additionally, a risk assessment that can identify best practice can be established and then followed.</w:t>
      </w:r>
    </w:p>
    <w:p w14:paraId="25154DDC" w14:textId="77777777" w:rsidR="00A36146" w:rsidRDefault="00A36146" w:rsidP="00A36146">
      <w:pPr>
        <w:spacing w:before="100" w:beforeAutospacing="1" w:after="100" w:afterAutospacing="1"/>
        <w:ind w:left="709"/>
        <w:rPr>
          <w:rFonts w:ascii="Arial" w:hAnsi="Arial" w:cs="Arial"/>
          <w:sz w:val="22"/>
          <w:szCs w:val="22"/>
          <w:lang w:val="en-GB" w:eastAsia="en-GB"/>
        </w:rPr>
      </w:pPr>
      <w:r>
        <w:rPr>
          <w:rFonts w:ascii="Arial" w:hAnsi="Arial" w:cs="Arial"/>
          <w:sz w:val="22"/>
          <w:szCs w:val="22"/>
          <w:lang w:val="en-GB" w:eastAsia="en-GB"/>
        </w:rPr>
        <w:t xml:space="preserve">In the last year, the following risk assessments were carried out/reviewed: </w:t>
      </w:r>
    </w:p>
    <w:p w14:paraId="3D58A466" w14:textId="77777777" w:rsidR="00A36146" w:rsidRDefault="00A36146" w:rsidP="00A36146">
      <w:pPr>
        <w:numPr>
          <w:ilvl w:val="0"/>
          <w:numId w:val="2"/>
        </w:numPr>
        <w:spacing w:before="100" w:beforeAutospacing="1" w:after="100" w:afterAutospacing="1"/>
        <w:contextualSpacing/>
        <w:rPr>
          <w:rFonts w:ascii="Arial" w:hAnsi="Arial" w:cs="Arial"/>
          <w:sz w:val="22"/>
          <w:szCs w:val="22"/>
          <w:lang w:val="en-GB" w:eastAsia="en-GB"/>
        </w:rPr>
      </w:pPr>
      <w:r>
        <w:rPr>
          <w:rFonts w:ascii="Arial" w:hAnsi="Arial" w:cs="Arial"/>
          <w:sz w:val="22"/>
          <w:szCs w:val="22"/>
          <w:lang w:val="en-GB" w:eastAsia="en-GB"/>
        </w:rPr>
        <w:t>General IPC risks</w:t>
      </w:r>
    </w:p>
    <w:p w14:paraId="0CA7AEBB" w14:textId="77777777" w:rsidR="00A36146" w:rsidRDefault="00A36146" w:rsidP="00A36146">
      <w:pPr>
        <w:numPr>
          <w:ilvl w:val="0"/>
          <w:numId w:val="2"/>
        </w:numPr>
        <w:spacing w:before="100" w:beforeAutospacing="1" w:after="100" w:afterAutospacing="1"/>
        <w:contextualSpacing/>
        <w:rPr>
          <w:rFonts w:ascii="Arial" w:hAnsi="Arial" w:cs="Arial"/>
          <w:sz w:val="22"/>
          <w:szCs w:val="22"/>
          <w:lang w:val="en-GB" w:eastAsia="en-GB"/>
        </w:rPr>
      </w:pPr>
      <w:r>
        <w:rPr>
          <w:rFonts w:ascii="Arial" w:hAnsi="Arial" w:cs="Arial"/>
          <w:sz w:val="22"/>
          <w:szCs w:val="22"/>
          <w:lang w:val="en-GB" w:eastAsia="en-GB"/>
        </w:rPr>
        <w:t>Staffing, new joiners and ongoing training</w:t>
      </w:r>
    </w:p>
    <w:p w14:paraId="17E6EEF6" w14:textId="77777777" w:rsidR="00A36146" w:rsidRDefault="00A36146" w:rsidP="00A36146">
      <w:pPr>
        <w:numPr>
          <w:ilvl w:val="0"/>
          <w:numId w:val="2"/>
        </w:numPr>
        <w:spacing w:before="100" w:beforeAutospacing="1" w:after="100" w:afterAutospacing="1"/>
        <w:contextualSpacing/>
        <w:rPr>
          <w:rFonts w:ascii="Arial" w:hAnsi="Arial" w:cs="Arial"/>
          <w:sz w:val="22"/>
          <w:szCs w:val="22"/>
          <w:lang w:val="en-GB" w:eastAsia="en-GB"/>
        </w:rPr>
      </w:pPr>
      <w:r>
        <w:rPr>
          <w:rFonts w:ascii="Arial" w:hAnsi="Arial" w:cs="Arial"/>
          <w:sz w:val="22"/>
          <w:szCs w:val="22"/>
          <w:lang w:val="en-GB" w:eastAsia="en-GB"/>
        </w:rPr>
        <w:t>COSHH</w:t>
      </w:r>
    </w:p>
    <w:p w14:paraId="116A2198" w14:textId="77777777" w:rsidR="00A36146" w:rsidRDefault="00A36146" w:rsidP="00A36146">
      <w:pPr>
        <w:numPr>
          <w:ilvl w:val="0"/>
          <w:numId w:val="2"/>
        </w:numPr>
        <w:spacing w:before="100" w:beforeAutospacing="1" w:after="100" w:afterAutospacing="1"/>
        <w:contextualSpacing/>
        <w:rPr>
          <w:rFonts w:ascii="Arial" w:hAnsi="Arial" w:cs="Arial"/>
          <w:sz w:val="22"/>
          <w:szCs w:val="22"/>
          <w:lang w:val="en-GB" w:eastAsia="en-GB"/>
        </w:rPr>
      </w:pPr>
      <w:r>
        <w:rPr>
          <w:rFonts w:ascii="Arial" w:hAnsi="Arial" w:cs="Arial"/>
          <w:sz w:val="22"/>
          <w:szCs w:val="22"/>
          <w:lang w:val="en-GB" w:eastAsia="en-GB"/>
        </w:rPr>
        <w:t>Cleaning standards</w:t>
      </w:r>
    </w:p>
    <w:p w14:paraId="2F978FF9" w14:textId="77777777" w:rsidR="00A36146" w:rsidRDefault="00A36146" w:rsidP="00A36146">
      <w:pPr>
        <w:numPr>
          <w:ilvl w:val="0"/>
          <w:numId w:val="2"/>
        </w:numPr>
        <w:spacing w:before="100" w:beforeAutospacing="1" w:after="100" w:afterAutospacing="1"/>
        <w:contextualSpacing/>
        <w:rPr>
          <w:rFonts w:ascii="Arial" w:hAnsi="Arial" w:cs="Arial"/>
          <w:sz w:val="22"/>
          <w:szCs w:val="22"/>
          <w:lang w:val="en-GB" w:eastAsia="en-GB"/>
        </w:rPr>
      </w:pPr>
      <w:r>
        <w:rPr>
          <w:rFonts w:ascii="Arial" w:hAnsi="Arial" w:cs="Arial"/>
          <w:sz w:val="22"/>
          <w:szCs w:val="22"/>
          <w:lang w:val="en-GB" w:eastAsia="en-GB"/>
        </w:rPr>
        <w:t>Privacy curtain cleaning or changes</w:t>
      </w:r>
    </w:p>
    <w:p w14:paraId="647B0F6F" w14:textId="77777777" w:rsidR="00A36146" w:rsidRDefault="00A36146" w:rsidP="00A36146">
      <w:pPr>
        <w:numPr>
          <w:ilvl w:val="0"/>
          <w:numId w:val="2"/>
        </w:numPr>
        <w:spacing w:before="100" w:beforeAutospacing="1" w:after="100" w:afterAutospacing="1"/>
        <w:contextualSpacing/>
        <w:rPr>
          <w:rFonts w:ascii="Arial" w:hAnsi="Arial" w:cs="Arial"/>
          <w:sz w:val="22"/>
          <w:szCs w:val="22"/>
          <w:lang w:val="en-GB" w:eastAsia="en-GB"/>
        </w:rPr>
      </w:pPr>
      <w:r>
        <w:rPr>
          <w:rFonts w:ascii="Arial" w:hAnsi="Arial" w:cs="Arial"/>
          <w:sz w:val="22"/>
          <w:szCs w:val="22"/>
          <w:lang w:val="en-GB" w:eastAsia="en-GB"/>
        </w:rPr>
        <w:t>Staff vaccinations</w:t>
      </w:r>
    </w:p>
    <w:p w14:paraId="600BF634" w14:textId="77777777" w:rsidR="00A36146" w:rsidRDefault="00A36146" w:rsidP="00A36146">
      <w:pPr>
        <w:numPr>
          <w:ilvl w:val="0"/>
          <w:numId w:val="2"/>
        </w:numPr>
        <w:spacing w:before="100" w:beforeAutospacing="1" w:after="100" w:afterAutospacing="1"/>
        <w:contextualSpacing/>
        <w:rPr>
          <w:rFonts w:ascii="Arial" w:hAnsi="Arial" w:cs="Arial"/>
          <w:sz w:val="22"/>
          <w:szCs w:val="22"/>
          <w:lang w:val="en-GB" w:eastAsia="en-GB"/>
        </w:rPr>
      </w:pPr>
      <w:r>
        <w:rPr>
          <w:rFonts w:ascii="Arial" w:hAnsi="Arial" w:cs="Arial"/>
          <w:sz w:val="22"/>
          <w:szCs w:val="22"/>
          <w:lang w:val="en-GB" w:eastAsia="en-GB"/>
        </w:rPr>
        <w:t>Infrastructure changes</w:t>
      </w:r>
    </w:p>
    <w:p w14:paraId="45F123C6" w14:textId="77777777" w:rsidR="00A36146" w:rsidRDefault="00A36146" w:rsidP="00A36146">
      <w:pPr>
        <w:numPr>
          <w:ilvl w:val="0"/>
          <w:numId w:val="2"/>
        </w:numPr>
        <w:spacing w:before="100" w:beforeAutospacing="1" w:after="100" w:afterAutospacing="1"/>
        <w:contextualSpacing/>
        <w:rPr>
          <w:rFonts w:ascii="Arial" w:hAnsi="Arial" w:cs="Arial"/>
          <w:sz w:val="22"/>
          <w:szCs w:val="22"/>
          <w:lang w:val="en-GB" w:eastAsia="en-GB"/>
        </w:rPr>
      </w:pPr>
      <w:r>
        <w:rPr>
          <w:rFonts w:ascii="Arial" w:hAnsi="Arial" w:cs="Arial"/>
          <w:sz w:val="22"/>
          <w:szCs w:val="22"/>
          <w:lang w:val="en-GB" w:eastAsia="en-GB"/>
        </w:rPr>
        <w:t>Sharps</w:t>
      </w:r>
    </w:p>
    <w:p w14:paraId="4EF63892" w14:textId="77777777" w:rsidR="00A36146" w:rsidRDefault="00A36146" w:rsidP="00A36146">
      <w:pPr>
        <w:numPr>
          <w:ilvl w:val="0"/>
          <w:numId w:val="2"/>
        </w:numPr>
        <w:spacing w:before="100" w:beforeAutospacing="1" w:after="100" w:afterAutospacing="1"/>
        <w:contextualSpacing/>
        <w:rPr>
          <w:rFonts w:ascii="Arial" w:hAnsi="Arial" w:cs="Arial"/>
          <w:sz w:val="22"/>
          <w:szCs w:val="22"/>
          <w:lang w:val="en-GB" w:eastAsia="en-GB"/>
        </w:rPr>
      </w:pPr>
      <w:r>
        <w:rPr>
          <w:rFonts w:ascii="Arial" w:hAnsi="Arial" w:cs="Arial"/>
          <w:sz w:val="22"/>
          <w:szCs w:val="22"/>
          <w:lang w:val="en-GB" w:eastAsia="en-GB"/>
        </w:rPr>
        <w:t>Water safety</w:t>
      </w:r>
    </w:p>
    <w:p w14:paraId="56E52A7B" w14:textId="77777777" w:rsidR="00A36146" w:rsidRDefault="00A36146" w:rsidP="00A36146">
      <w:pPr>
        <w:numPr>
          <w:ilvl w:val="0"/>
          <w:numId w:val="2"/>
        </w:numPr>
        <w:spacing w:before="100" w:beforeAutospacing="1" w:after="100" w:afterAutospacing="1"/>
        <w:contextualSpacing/>
        <w:rPr>
          <w:rFonts w:ascii="Arial" w:hAnsi="Arial" w:cs="Arial"/>
          <w:sz w:val="22"/>
          <w:szCs w:val="22"/>
          <w:lang w:val="en-GB" w:eastAsia="en-GB"/>
        </w:rPr>
      </w:pPr>
      <w:r>
        <w:rPr>
          <w:rFonts w:ascii="Arial" w:hAnsi="Arial" w:cs="Arial"/>
          <w:sz w:val="22"/>
          <w:szCs w:val="22"/>
          <w:lang w:val="en-GB" w:eastAsia="en-GB"/>
        </w:rPr>
        <w:t>Toys</w:t>
      </w:r>
    </w:p>
    <w:p w14:paraId="309B8AAC" w14:textId="77777777" w:rsidR="00A36146" w:rsidRDefault="00A36146" w:rsidP="00A36146">
      <w:pPr>
        <w:numPr>
          <w:ilvl w:val="0"/>
          <w:numId w:val="2"/>
        </w:numPr>
        <w:spacing w:before="100" w:beforeAutospacing="1" w:after="100" w:afterAutospacing="1"/>
        <w:contextualSpacing/>
        <w:rPr>
          <w:rFonts w:ascii="Arial" w:hAnsi="Arial" w:cs="Arial"/>
          <w:sz w:val="22"/>
          <w:szCs w:val="22"/>
          <w:lang w:val="en-GB" w:eastAsia="en-GB"/>
        </w:rPr>
      </w:pPr>
      <w:r>
        <w:rPr>
          <w:rFonts w:ascii="Arial" w:hAnsi="Arial" w:cs="Arial"/>
          <w:sz w:val="22"/>
          <w:szCs w:val="22"/>
          <w:lang w:val="en-GB" w:eastAsia="en-GB"/>
        </w:rPr>
        <w:t>Assistance dogs</w:t>
      </w:r>
    </w:p>
    <w:p w14:paraId="5A23C817" w14:textId="77777777" w:rsidR="00A36146" w:rsidRDefault="00A36146" w:rsidP="00A36146">
      <w:pPr>
        <w:spacing w:before="100" w:beforeAutospacing="1" w:after="100" w:afterAutospacing="1"/>
        <w:ind w:left="709"/>
        <w:rPr>
          <w:rFonts w:ascii="Arial" w:hAnsi="Arial" w:cs="Arial"/>
          <w:sz w:val="22"/>
          <w:szCs w:val="22"/>
          <w:lang w:val="en-GB" w:eastAsia="en-GB"/>
        </w:rPr>
      </w:pPr>
    </w:p>
    <w:p w14:paraId="29C011DE" w14:textId="77777777" w:rsidR="00A36146" w:rsidRDefault="00A36146" w:rsidP="00A36146">
      <w:pPr>
        <w:spacing w:before="100" w:beforeAutospacing="1" w:after="100" w:afterAutospacing="1"/>
        <w:ind w:left="709"/>
        <w:rPr>
          <w:rFonts w:ascii="Arial" w:hAnsi="Arial" w:cs="Arial"/>
          <w:sz w:val="22"/>
          <w:szCs w:val="22"/>
          <w:lang w:val="en-GB" w:eastAsia="en-GB"/>
        </w:rPr>
      </w:pPr>
      <w:r>
        <w:rPr>
          <w:rFonts w:ascii="Arial" w:hAnsi="Arial" w:cs="Arial"/>
          <w:sz w:val="22"/>
          <w:szCs w:val="22"/>
          <w:lang w:val="en-GB" w:eastAsia="en-GB"/>
        </w:rPr>
        <w:t>The following risk assessment will also be reviewed annually</w:t>
      </w:r>
    </w:p>
    <w:p w14:paraId="487A409F" w14:textId="77777777" w:rsidR="00A36146" w:rsidRDefault="00A36146" w:rsidP="00A36146">
      <w:pPr>
        <w:spacing w:before="100" w:beforeAutospacing="1" w:after="100" w:afterAutospacing="1"/>
        <w:rPr>
          <w:rFonts w:ascii="Arial" w:hAnsi="Arial" w:cs="Arial"/>
          <w:b/>
          <w:sz w:val="22"/>
          <w:szCs w:val="22"/>
          <w:lang w:val="en-GB" w:eastAsia="en-GB"/>
        </w:rPr>
      </w:pPr>
      <w:r>
        <w:rPr>
          <w:rFonts w:ascii="Arial" w:hAnsi="Arial" w:cs="Arial"/>
          <w:b/>
          <w:sz w:val="22"/>
          <w:szCs w:val="22"/>
          <w:lang w:val="en-GB" w:eastAsia="en-GB"/>
        </w:rPr>
        <w:t>d.</w:t>
      </w:r>
      <w:r>
        <w:rPr>
          <w:rFonts w:ascii="Arial" w:hAnsi="Arial" w:cs="Arial"/>
          <w:b/>
          <w:sz w:val="22"/>
          <w:szCs w:val="22"/>
        </w:rPr>
        <w:tab/>
        <w:t xml:space="preserve">Training </w:t>
      </w:r>
    </w:p>
    <w:p w14:paraId="150DFED6" w14:textId="77777777" w:rsidR="00A36146" w:rsidRDefault="00A36146" w:rsidP="00A36146">
      <w:pPr>
        <w:spacing w:before="100" w:beforeAutospacing="1" w:after="100" w:afterAutospacing="1"/>
        <w:ind w:left="709"/>
        <w:rPr>
          <w:rFonts w:ascii="Arial" w:hAnsi="Arial" w:cs="Arial"/>
          <w:sz w:val="22"/>
          <w:szCs w:val="22"/>
          <w:lang w:val="en-GB" w:eastAsia="en-GB"/>
        </w:rPr>
      </w:pPr>
      <w:r>
        <w:rPr>
          <w:rFonts w:ascii="Arial" w:hAnsi="Arial" w:cs="Arial"/>
          <w:sz w:val="22"/>
          <w:szCs w:val="22"/>
          <w:lang w:val="en-GB" w:eastAsia="en-GB"/>
        </w:rPr>
        <w:t>In addition to staff being involved in risk assessments and significant events, at  Unsworth Group all staff and contractors receive IPC induction training on commencing their post. Thereafter, all staff receive refresher training</w:t>
      </w:r>
      <w:r>
        <w:rPr>
          <w:rFonts w:ascii="Arial"/>
          <w:sz w:val="22"/>
        </w:rPr>
        <w:t xml:space="preserve"> </w:t>
      </w:r>
      <w:r>
        <w:rPr>
          <w:rFonts w:ascii="Arial" w:hAnsi="Arial" w:cs="Arial"/>
          <w:sz w:val="22"/>
          <w:szCs w:val="22"/>
          <w:lang w:val="en-GB" w:eastAsia="en-GB"/>
        </w:rPr>
        <w:t>annually.</w:t>
      </w:r>
    </w:p>
    <w:p w14:paraId="54F620DF" w14:textId="77777777" w:rsidR="00A36146" w:rsidRPr="00CC538B" w:rsidRDefault="00A36146" w:rsidP="00A36146">
      <w:pPr>
        <w:spacing w:before="100" w:beforeAutospacing="1" w:after="100" w:afterAutospacing="1"/>
        <w:ind w:left="709"/>
        <w:rPr>
          <w:rFonts w:ascii="Arial" w:hAnsi="Arial" w:cs="Arial"/>
          <w:sz w:val="22"/>
          <w:szCs w:val="22"/>
          <w:lang w:val="en-GB" w:eastAsia="en-GB"/>
        </w:rPr>
      </w:pPr>
      <w:r w:rsidRPr="00CC538B">
        <w:rPr>
          <w:rFonts w:ascii="Arial" w:hAnsi="Arial" w:cs="Arial"/>
          <w:sz w:val="22"/>
          <w:szCs w:val="22"/>
          <w:lang w:val="en-GB" w:eastAsia="en-GB"/>
        </w:rPr>
        <w:t>Yearly Blue stream training in Inf</w:t>
      </w:r>
      <w:r>
        <w:rPr>
          <w:rFonts w:ascii="Arial" w:hAnsi="Arial" w:cs="Arial"/>
          <w:sz w:val="22"/>
          <w:szCs w:val="22"/>
          <w:lang w:val="en-GB" w:eastAsia="en-GB"/>
        </w:rPr>
        <w:t>ection control and hand hygiene</w:t>
      </w:r>
    </w:p>
    <w:p w14:paraId="0157EFA5" w14:textId="77777777" w:rsidR="00A36146" w:rsidRPr="00CC538B" w:rsidRDefault="00A36146" w:rsidP="00A36146">
      <w:pPr>
        <w:spacing w:before="100" w:beforeAutospacing="1" w:after="100" w:afterAutospacing="1"/>
        <w:ind w:left="709"/>
        <w:rPr>
          <w:rFonts w:ascii="Arial" w:hAnsi="Arial" w:cs="Arial"/>
          <w:sz w:val="22"/>
          <w:szCs w:val="22"/>
          <w:lang w:val="en-GB" w:eastAsia="en-GB"/>
        </w:rPr>
      </w:pPr>
      <w:r w:rsidRPr="00CC538B">
        <w:rPr>
          <w:rFonts w:ascii="Arial" w:hAnsi="Arial" w:cs="Arial"/>
          <w:sz w:val="22"/>
          <w:szCs w:val="22"/>
          <w:lang w:val="en-GB" w:eastAsia="en-GB"/>
        </w:rPr>
        <w:t xml:space="preserve">Cascaded information from the IPC lead </w:t>
      </w:r>
    </w:p>
    <w:p w14:paraId="25913E3F" w14:textId="77777777" w:rsidR="00A36146" w:rsidRDefault="00A36146" w:rsidP="00A36146">
      <w:pPr>
        <w:spacing w:before="100" w:beforeAutospacing="1" w:after="100" w:afterAutospacing="1"/>
        <w:rPr>
          <w:rFonts w:ascii="Arial" w:hAnsi="Arial" w:cs="Arial"/>
          <w:b/>
          <w:sz w:val="22"/>
          <w:szCs w:val="22"/>
          <w:lang w:val="en-GB" w:eastAsia="en-GB"/>
        </w:rPr>
      </w:pPr>
      <w:r>
        <w:rPr>
          <w:rFonts w:ascii="Arial" w:hAnsi="Arial" w:cs="Arial"/>
          <w:b/>
          <w:sz w:val="22"/>
          <w:szCs w:val="22"/>
          <w:lang w:val="en-GB" w:eastAsia="en-GB"/>
        </w:rPr>
        <w:t>e.</w:t>
      </w:r>
      <w:r>
        <w:rPr>
          <w:rFonts w:ascii="Arial" w:hAnsi="Arial" w:cs="Arial"/>
          <w:b/>
          <w:sz w:val="22"/>
          <w:szCs w:val="22"/>
        </w:rPr>
        <w:tab/>
        <w:t>Policies and procedures</w:t>
      </w:r>
    </w:p>
    <w:p w14:paraId="500DBE4B" w14:textId="77777777" w:rsidR="00A36146" w:rsidRDefault="00A36146" w:rsidP="00A36146">
      <w:pPr>
        <w:spacing w:before="100" w:beforeAutospacing="1" w:after="100" w:afterAutospacing="1"/>
        <w:ind w:left="709"/>
        <w:rPr>
          <w:rFonts w:ascii="Arial" w:hAnsi="Arial" w:cs="Arial"/>
          <w:sz w:val="22"/>
          <w:szCs w:val="22"/>
          <w:lang w:val="en-GB" w:eastAsia="en-GB"/>
        </w:rPr>
      </w:pPr>
      <w:r>
        <w:rPr>
          <w:rFonts w:ascii="Arial" w:hAnsi="Arial" w:cs="Arial"/>
          <w:sz w:val="22"/>
          <w:szCs w:val="22"/>
          <w:lang w:val="en-GB" w:eastAsia="en-GB"/>
        </w:rPr>
        <w:t xml:space="preserve">The infection prevention and control related policies and procedures that have been written, updated or reviewed in the last year include, but are not limited, to: </w:t>
      </w:r>
    </w:p>
    <w:p w14:paraId="3A4A2C8F" w14:textId="77777777" w:rsidR="00A36146" w:rsidRPr="00933C12" w:rsidRDefault="00A36146" w:rsidP="00A36146">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ab/>
      </w:r>
      <w:r w:rsidRPr="00933C12">
        <w:rPr>
          <w:rFonts w:ascii="Arial" w:hAnsi="Arial" w:cs="Arial"/>
          <w:sz w:val="22"/>
          <w:szCs w:val="22"/>
          <w:lang w:val="en-GB" w:eastAsia="en-GB"/>
        </w:rPr>
        <w:t>The Infection Prevention Control Policy</w:t>
      </w:r>
      <w:r>
        <w:rPr>
          <w:rFonts w:ascii="Arial" w:hAnsi="Arial" w:cs="Arial"/>
          <w:sz w:val="22"/>
          <w:szCs w:val="22"/>
          <w:lang w:val="en-GB" w:eastAsia="en-GB"/>
        </w:rPr>
        <w:t xml:space="preserve"> – updated 25/11/25</w:t>
      </w:r>
    </w:p>
    <w:p w14:paraId="4A9C3BEC" w14:textId="77777777" w:rsidR="00A36146" w:rsidRDefault="00A36146" w:rsidP="00A36146">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Policies relating to infection prevention and control are available to all staff and are reviewed and updated annually. Additionally, all policies are amended on an ongoing basis as per current advice, guidance and legislation changes.  </w:t>
      </w:r>
    </w:p>
    <w:p w14:paraId="6EFFB362" w14:textId="77777777" w:rsidR="00A36146" w:rsidRDefault="00A36146" w:rsidP="00A36146">
      <w:pPr>
        <w:spacing w:before="100" w:beforeAutospacing="1" w:after="100" w:afterAutospacing="1"/>
        <w:rPr>
          <w:rFonts w:ascii="Arial" w:hAnsi="Arial" w:cs="Arial"/>
          <w:sz w:val="22"/>
          <w:szCs w:val="22"/>
          <w:lang w:val="en-GB" w:eastAsia="en-GB"/>
        </w:rPr>
      </w:pPr>
    </w:p>
    <w:p w14:paraId="66B39BA2" w14:textId="77777777" w:rsidR="00A36146" w:rsidRDefault="00A36146" w:rsidP="00A36146">
      <w:pPr>
        <w:spacing w:before="100" w:beforeAutospacing="1" w:after="100" w:afterAutospacing="1"/>
        <w:rPr>
          <w:rFonts w:ascii="Arial" w:hAnsi="Arial" w:cs="Arial"/>
          <w:b/>
          <w:sz w:val="22"/>
          <w:szCs w:val="22"/>
          <w:lang w:val="en-GB" w:eastAsia="en-GB"/>
        </w:rPr>
      </w:pPr>
      <w:r>
        <w:rPr>
          <w:rFonts w:ascii="Arial" w:hAnsi="Arial" w:cs="Arial"/>
          <w:b/>
          <w:sz w:val="22"/>
          <w:szCs w:val="22"/>
          <w:lang w:val="en-GB" w:eastAsia="en-GB"/>
        </w:rPr>
        <w:t>f.</w:t>
      </w:r>
      <w:r>
        <w:rPr>
          <w:rFonts w:ascii="Arial" w:hAnsi="Arial" w:cs="Arial"/>
          <w:b/>
          <w:sz w:val="22"/>
          <w:szCs w:val="22"/>
        </w:rPr>
        <w:tab/>
        <w:t>Responsi</w:t>
      </w:r>
      <w:r>
        <w:rPr>
          <w:rFonts w:ascii="Arial" w:hAnsi="Arial" w:cs="Arial"/>
          <w:b/>
          <w:sz w:val="22"/>
          <w:szCs w:val="22"/>
          <w:lang w:val="en-GB" w:eastAsia="en-GB"/>
        </w:rPr>
        <w:t>bility</w:t>
      </w:r>
    </w:p>
    <w:p w14:paraId="7F7596DD" w14:textId="6525BB39" w:rsidR="00A36146" w:rsidRDefault="00A36146" w:rsidP="00A36146">
      <w:pPr>
        <w:spacing w:before="100" w:beforeAutospacing="1" w:after="100" w:afterAutospacing="1"/>
        <w:rPr>
          <w:rFonts w:ascii="Arial" w:hAnsi="Arial" w:cs="Arial"/>
          <w:b/>
          <w:sz w:val="22"/>
          <w:szCs w:val="22"/>
          <w:lang w:val="en-GB" w:eastAsia="en-GB"/>
        </w:rPr>
      </w:pPr>
      <w:r>
        <w:rPr>
          <w:rFonts w:ascii="Arial" w:hAnsi="Arial" w:cs="Arial"/>
          <w:sz w:val="22"/>
          <w:szCs w:val="22"/>
          <w:lang w:val="en-GB" w:eastAsia="en-GB"/>
        </w:rPr>
        <w:t xml:space="preserve">It is the responsibility of all staff members at The Unsworth Group to be familiar with this statement and their roles and responsibilities under it.  </w:t>
      </w:r>
    </w:p>
    <w:p w14:paraId="5D299DD6" w14:textId="77777777" w:rsidR="00A36146" w:rsidRDefault="00A36146" w:rsidP="00A36146">
      <w:pPr>
        <w:spacing w:before="100" w:beforeAutospacing="1" w:after="100" w:afterAutospacing="1"/>
        <w:rPr>
          <w:rFonts w:ascii="Arial" w:hAnsi="Arial" w:cs="Arial"/>
          <w:sz w:val="22"/>
          <w:szCs w:val="22"/>
          <w:lang w:val="en-GB" w:eastAsia="en-GB"/>
        </w:rPr>
      </w:pPr>
      <w:r>
        <w:rPr>
          <w:rFonts w:ascii="Arial" w:hAnsi="Arial" w:cs="Arial"/>
          <w:b/>
          <w:sz w:val="22"/>
          <w:szCs w:val="22"/>
          <w:lang w:val="en-GB" w:eastAsia="en-GB"/>
        </w:rPr>
        <w:t>g.</w:t>
      </w:r>
      <w:r>
        <w:rPr>
          <w:rFonts w:ascii="Arial" w:hAnsi="Arial" w:cs="Arial"/>
          <w:b/>
          <w:sz w:val="22"/>
          <w:szCs w:val="22"/>
        </w:rPr>
        <w:tab/>
        <w:t xml:space="preserve">Review </w:t>
      </w:r>
    </w:p>
    <w:p w14:paraId="2098F6D5" w14:textId="77777777" w:rsidR="00A36146" w:rsidRDefault="00A36146" w:rsidP="00A36146">
      <w:pPr>
        <w:spacing w:before="100" w:beforeAutospacing="1" w:after="100" w:afterAutospacing="1"/>
        <w:ind w:left="709"/>
        <w:rPr>
          <w:rFonts w:ascii="Arial" w:hAnsi="Arial" w:cs="Arial"/>
          <w:sz w:val="22"/>
          <w:szCs w:val="22"/>
          <w:lang w:val="en-GB" w:eastAsia="en-GB"/>
        </w:rPr>
      </w:pPr>
      <w:r>
        <w:rPr>
          <w:rFonts w:ascii="Arial" w:hAnsi="Arial" w:cs="Arial"/>
          <w:sz w:val="22"/>
          <w:szCs w:val="22"/>
          <w:lang w:val="en-GB" w:eastAsia="en-GB"/>
        </w:rPr>
        <w:t>The IPC lead and Stephanie Moore B&amp;G Manager are responsible for reviewing and producing the annual statement. This annual statement will be updated on or before Nov 2026.</w:t>
      </w:r>
    </w:p>
    <w:p w14:paraId="3AC2CC8C" w14:textId="77777777" w:rsidR="008003DE" w:rsidRDefault="008003DE"/>
    <w:sectPr w:rsidR="008003DE" w:rsidSect="00A36146">
      <w:headerReference w:type="default" r:id="rId8"/>
      <w:footerReference w:type="even" r:id="rId9"/>
      <w:footerReference w:type="default" r:id="rId10"/>
      <w:pgSz w:w="11900" w:h="1682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CF5A8" w14:textId="77777777" w:rsidR="00A36146" w:rsidRDefault="00A36146" w:rsidP="00A36146">
      <w:r>
        <w:separator/>
      </w:r>
    </w:p>
  </w:endnote>
  <w:endnote w:type="continuationSeparator" w:id="0">
    <w:p w14:paraId="34EB429B" w14:textId="77777777" w:rsidR="00A36146" w:rsidRDefault="00A36146" w:rsidP="00A36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5A636" w14:textId="77777777" w:rsidR="00A36146" w:rsidRDefault="00A36146" w:rsidP="0000301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565F4D" w14:textId="77777777" w:rsidR="00A36146" w:rsidRDefault="00A36146" w:rsidP="0000301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68C44" w14:textId="77777777" w:rsidR="00A36146" w:rsidRDefault="00A36146" w:rsidP="0000301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61</w:t>
    </w:r>
    <w:r>
      <w:rPr>
        <w:rStyle w:val="PageNumber"/>
      </w:rPr>
      <w:fldChar w:fldCharType="end"/>
    </w:r>
  </w:p>
  <w:p w14:paraId="43900710" w14:textId="77777777" w:rsidR="00A36146" w:rsidRDefault="00A36146" w:rsidP="0000301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3296D" w14:textId="77777777" w:rsidR="00A36146" w:rsidRDefault="00A36146" w:rsidP="00A36146">
      <w:r>
        <w:separator/>
      </w:r>
    </w:p>
  </w:footnote>
  <w:footnote w:type="continuationSeparator" w:id="0">
    <w:p w14:paraId="0D0362AD" w14:textId="77777777" w:rsidR="00A36146" w:rsidRDefault="00A36146" w:rsidP="00A361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205EC" w14:textId="77777777" w:rsidR="00A36146" w:rsidRDefault="00A36146" w:rsidP="00A36146">
    <w:pPr>
      <w:pStyle w:val="Header"/>
    </w:pPr>
    <w:r>
      <w:rPr>
        <w:noProof/>
      </w:rPr>
      <w:drawing>
        <wp:inline distT="0" distB="0" distL="0" distR="0" wp14:anchorId="6DFED097" wp14:editId="556A4102">
          <wp:extent cx="3108049" cy="752475"/>
          <wp:effectExtent l="0" t="0" r="0" b="0"/>
          <wp:docPr id="18" name="Picture 18" descr="cid:image001.png@01D9FD02.8F383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FD02.8F383E1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111169" cy="7532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345"/>
    <w:multiLevelType w:val="hybridMultilevel"/>
    <w:tmpl w:val="2DC09980"/>
    <w:lvl w:ilvl="0" w:tplc="8ABCF712">
      <w:start w:val="1"/>
      <w:numFmt w:val="bullet"/>
      <w:lvlText w:val=""/>
      <w:lvlJc w:val="left"/>
      <w:pPr>
        <w:ind w:left="720" w:hanging="360"/>
      </w:pPr>
      <w:rPr>
        <w:rFonts w:ascii="Symbol" w:hAnsi="Symbol" w:hint="default"/>
      </w:rPr>
    </w:lvl>
    <w:lvl w:ilvl="1" w:tplc="125240A6">
      <w:start w:val="1"/>
      <w:numFmt w:val="bullet"/>
      <w:lvlText w:val="o"/>
      <w:lvlJc w:val="left"/>
      <w:pPr>
        <w:ind w:left="1440" w:hanging="360"/>
      </w:pPr>
      <w:rPr>
        <w:rFonts w:ascii="Courier New" w:hAnsi="Courier New" w:cs="Courier New" w:hint="default"/>
      </w:rPr>
    </w:lvl>
    <w:lvl w:ilvl="2" w:tplc="82EE495C">
      <w:start w:val="1"/>
      <w:numFmt w:val="bullet"/>
      <w:lvlText w:val=""/>
      <w:lvlJc w:val="left"/>
      <w:pPr>
        <w:ind w:left="2160" w:hanging="360"/>
      </w:pPr>
      <w:rPr>
        <w:rFonts w:ascii="Wingdings" w:hAnsi="Wingdings" w:hint="default"/>
      </w:rPr>
    </w:lvl>
    <w:lvl w:ilvl="3" w:tplc="E37A4346">
      <w:start w:val="1"/>
      <w:numFmt w:val="bullet"/>
      <w:lvlText w:val=""/>
      <w:lvlJc w:val="left"/>
      <w:pPr>
        <w:ind w:left="2880" w:hanging="360"/>
      </w:pPr>
      <w:rPr>
        <w:rFonts w:ascii="Symbol" w:hAnsi="Symbol" w:hint="default"/>
      </w:rPr>
    </w:lvl>
    <w:lvl w:ilvl="4" w:tplc="56705894">
      <w:start w:val="1"/>
      <w:numFmt w:val="bullet"/>
      <w:lvlText w:val="o"/>
      <w:lvlJc w:val="left"/>
      <w:pPr>
        <w:ind w:left="3600" w:hanging="360"/>
      </w:pPr>
      <w:rPr>
        <w:rFonts w:ascii="Courier New" w:hAnsi="Courier New" w:cs="Courier New" w:hint="default"/>
      </w:rPr>
    </w:lvl>
    <w:lvl w:ilvl="5" w:tplc="92E27542">
      <w:start w:val="1"/>
      <w:numFmt w:val="bullet"/>
      <w:lvlText w:val=""/>
      <w:lvlJc w:val="left"/>
      <w:pPr>
        <w:ind w:left="4320" w:hanging="360"/>
      </w:pPr>
      <w:rPr>
        <w:rFonts w:ascii="Wingdings" w:hAnsi="Wingdings" w:hint="default"/>
      </w:rPr>
    </w:lvl>
    <w:lvl w:ilvl="6" w:tplc="09F8B6A4">
      <w:start w:val="1"/>
      <w:numFmt w:val="bullet"/>
      <w:lvlText w:val=""/>
      <w:lvlJc w:val="left"/>
      <w:pPr>
        <w:ind w:left="5040" w:hanging="360"/>
      </w:pPr>
      <w:rPr>
        <w:rFonts w:ascii="Symbol" w:hAnsi="Symbol" w:hint="default"/>
      </w:rPr>
    </w:lvl>
    <w:lvl w:ilvl="7" w:tplc="565EB84C">
      <w:start w:val="1"/>
      <w:numFmt w:val="bullet"/>
      <w:lvlText w:val="o"/>
      <w:lvlJc w:val="left"/>
      <w:pPr>
        <w:ind w:left="5760" w:hanging="360"/>
      </w:pPr>
      <w:rPr>
        <w:rFonts w:ascii="Courier New" w:hAnsi="Courier New" w:cs="Courier New" w:hint="default"/>
      </w:rPr>
    </w:lvl>
    <w:lvl w:ilvl="8" w:tplc="DF0C7970">
      <w:start w:val="1"/>
      <w:numFmt w:val="bullet"/>
      <w:lvlText w:val=""/>
      <w:lvlJc w:val="left"/>
      <w:pPr>
        <w:ind w:left="6480" w:hanging="360"/>
      </w:pPr>
      <w:rPr>
        <w:rFonts w:ascii="Wingdings" w:hAnsi="Wingdings" w:hint="default"/>
      </w:rPr>
    </w:lvl>
  </w:abstractNum>
  <w:abstractNum w:abstractNumId="1" w15:restartNumberingAfterBreak="0">
    <w:nsid w:val="610E13E5"/>
    <w:multiLevelType w:val="hybridMultilevel"/>
    <w:tmpl w:val="C85036E0"/>
    <w:lvl w:ilvl="0" w:tplc="C9184582">
      <w:start w:val="1"/>
      <w:numFmt w:val="bullet"/>
      <w:lvlText w:val=""/>
      <w:lvlJc w:val="left"/>
      <w:pPr>
        <w:ind w:left="1429" w:hanging="360"/>
      </w:pPr>
      <w:rPr>
        <w:rFonts w:ascii="Symbol" w:hAnsi="Symbol" w:hint="default"/>
        <w:color w:val="auto"/>
        <w:sz w:val="22"/>
        <w:szCs w:val="22"/>
      </w:rPr>
    </w:lvl>
    <w:lvl w:ilvl="1" w:tplc="1ABA9646">
      <w:start w:val="1"/>
      <w:numFmt w:val="bullet"/>
      <w:lvlText w:val="o"/>
      <w:lvlJc w:val="left"/>
      <w:pPr>
        <w:ind w:left="2149" w:hanging="360"/>
      </w:pPr>
      <w:rPr>
        <w:rFonts w:ascii="Courier New" w:hAnsi="Courier New" w:cs="Courier New" w:hint="default"/>
      </w:rPr>
    </w:lvl>
    <w:lvl w:ilvl="2" w:tplc="A650D596">
      <w:start w:val="1"/>
      <w:numFmt w:val="bullet"/>
      <w:lvlText w:val=""/>
      <w:lvlJc w:val="left"/>
      <w:pPr>
        <w:ind w:left="2869" w:hanging="360"/>
      </w:pPr>
      <w:rPr>
        <w:rFonts w:ascii="Wingdings" w:hAnsi="Wingdings" w:hint="default"/>
      </w:rPr>
    </w:lvl>
    <w:lvl w:ilvl="3" w:tplc="6AA25F30">
      <w:start w:val="1"/>
      <w:numFmt w:val="bullet"/>
      <w:lvlText w:val=""/>
      <w:lvlJc w:val="left"/>
      <w:pPr>
        <w:ind w:left="3589" w:hanging="360"/>
      </w:pPr>
      <w:rPr>
        <w:rFonts w:ascii="Symbol" w:hAnsi="Symbol" w:hint="default"/>
      </w:rPr>
    </w:lvl>
    <w:lvl w:ilvl="4" w:tplc="1CBEE868">
      <w:start w:val="1"/>
      <w:numFmt w:val="bullet"/>
      <w:lvlText w:val="o"/>
      <w:lvlJc w:val="left"/>
      <w:pPr>
        <w:ind w:left="4309" w:hanging="360"/>
      </w:pPr>
      <w:rPr>
        <w:rFonts w:ascii="Courier New" w:hAnsi="Courier New" w:cs="Courier New" w:hint="default"/>
      </w:rPr>
    </w:lvl>
    <w:lvl w:ilvl="5" w:tplc="6F6A9A8A">
      <w:start w:val="1"/>
      <w:numFmt w:val="bullet"/>
      <w:lvlText w:val=""/>
      <w:lvlJc w:val="left"/>
      <w:pPr>
        <w:ind w:left="5029" w:hanging="360"/>
      </w:pPr>
      <w:rPr>
        <w:rFonts w:ascii="Wingdings" w:hAnsi="Wingdings" w:hint="default"/>
      </w:rPr>
    </w:lvl>
    <w:lvl w:ilvl="6" w:tplc="09B6DFFA">
      <w:start w:val="1"/>
      <w:numFmt w:val="bullet"/>
      <w:lvlText w:val=""/>
      <w:lvlJc w:val="left"/>
      <w:pPr>
        <w:ind w:left="5749" w:hanging="360"/>
      </w:pPr>
      <w:rPr>
        <w:rFonts w:ascii="Symbol" w:hAnsi="Symbol" w:hint="default"/>
      </w:rPr>
    </w:lvl>
    <w:lvl w:ilvl="7" w:tplc="F9C6C6DE">
      <w:start w:val="1"/>
      <w:numFmt w:val="bullet"/>
      <w:lvlText w:val="o"/>
      <w:lvlJc w:val="left"/>
      <w:pPr>
        <w:ind w:left="6469" w:hanging="360"/>
      </w:pPr>
      <w:rPr>
        <w:rFonts w:ascii="Courier New" w:hAnsi="Courier New" w:cs="Courier New" w:hint="default"/>
      </w:rPr>
    </w:lvl>
    <w:lvl w:ilvl="8" w:tplc="E66C72EA">
      <w:start w:val="1"/>
      <w:numFmt w:val="bullet"/>
      <w:lvlText w:val=""/>
      <w:lvlJc w:val="left"/>
      <w:pPr>
        <w:ind w:left="7189" w:hanging="360"/>
      </w:pPr>
      <w:rPr>
        <w:rFonts w:ascii="Wingdings" w:hAnsi="Wingdings" w:hint="default"/>
      </w:rPr>
    </w:lvl>
  </w:abstractNum>
  <w:num w:numId="1" w16cid:durableId="1611232238">
    <w:abstractNumId w:val="0"/>
  </w:num>
  <w:num w:numId="2" w16cid:durableId="9062638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146"/>
    <w:rsid w:val="002C321B"/>
    <w:rsid w:val="00572C53"/>
    <w:rsid w:val="007F0596"/>
    <w:rsid w:val="008003DE"/>
    <w:rsid w:val="00A36146"/>
    <w:rsid w:val="00EA066F"/>
    <w:rsid w:val="00F937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4FFBB0"/>
  <w15:chartTrackingRefBased/>
  <w15:docId w15:val="{107A0BF8-8E91-46AF-81E7-3D137D974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146"/>
    <w:rPr>
      <w:rFonts w:ascii="Times New Roman" w:eastAsia="Times New Roman" w:hAnsi="Times New Roman"/>
      <w:kern w:val="0"/>
      <w:sz w:val="24"/>
      <w:szCs w:val="24"/>
      <w:lang w:val="en-US"/>
      <w14:ligatures w14:val="none"/>
    </w:rPr>
  </w:style>
  <w:style w:type="paragraph" w:styleId="Heading1">
    <w:name w:val="heading 1"/>
    <w:basedOn w:val="Normal"/>
    <w:next w:val="Normal"/>
    <w:link w:val="Heading1Char"/>
    <w:uiPriority w:val="9"/>
    <w:qFormat/>
    <w:rsid w:val="00572C53"/>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572C53"/>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572C53"/>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572C5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2C5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2C5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2C53"/>
    <w:pPr>
      <w:spacing w:before="240" w:after="60"/>
      <w:outlineLvl w:val="6"/>
    </w:pPr>
  </w:style>
  <w:style w:type="paragraph" w:styleId="Heading8">
    <w:name w:val="heading 8"/>
    <w:basedOn w:val="Normal"/>
    <w:next w:val="Normal"/>
    <w:link w:val="Heading8Char"/>
    <w:uiPriority w:val="9"/>
    <w:semiHidden/>
    <w:unhideWhenUsed/>
    <w:qFormat/>
    <w:rsid w:val="00572C53"/>
    <w:pPr>
      <w:spacing w:before="240" w:after="60"/>
      <w:outlineLvl w:val="7"/>
    </w:pPr>
    <w:rPr>
      <w:i/>
      <w:iCs/>
    </w:rPr>
  </w:style>
  <w:style w:type="paragraph" w:styleId="Heading9">
    <w:name w:val="heading 9"/>
    <w:basedOn w:val="Normal"/>
    <w:next w:val="Normal"/>
    <w:link w:val="Heading9Char"/>
    <w:uiPriority w:val="9"/>
    <w:semiHidden/>
    <w:unhideWhenUsed/>
    <w:qFormat/>
    <w:rsid w:val="00572C5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C53"/>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572C53"/>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572C53"/>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572C53"/>
    <w:rPr>
      <w:b/>
      <w:bCs/>
      <w:sz w:val="28"/>
      <w:szCs w:val="28"/>
    </w:rPr>
  </w:style>
  <w:style w:type="character" w:customStyle="1" w:styleId="Heading5Char">
    <w:name w:val="Heading 5 Char"/>
    <w:basedOn w:val="DefaultParagraphFont"/>
    <w:link w:val="Heading5"/>
    <w:uiPriority w:val="9"/>
    <w:semiHidden/>
    <w:rsid w:val="00572C53"/>
    <w:rPr>
      <w:b/>
      <w:bCs/>
      <w:i/>
      <w:iCs/>
      <w:sz w:val="26"/>
      <w:szCs w:val="26"/>
    </w:rPr>
  </w:style>
  <w:style w:type="character" w:customStyle="1" w:styleId="Heading6Char">
    <w:name w:val="Heading 6 Char"/>
    <w:basedOn w:val="DefaultParagraphFont"/>
    <w:link w:val="Heading6"/>
    <w:uiPriority w:val="9"/>
    <w:semiHidden/>
    <w:rsid w:val="00572C53"/>
    <w:rPr>
      <w:b/>
      <w:bCs/>
    </w:rPr>
  </w:style>
  <w:style w:type="character" w:customStyle="1" w:styleId="Heading7Char">
    <w:name w:val="Heading 7 Char"/>
    <w:basedOn w:val="DefaultParagraphFont"/>
    <w:link w:val="Heading7"/>
    <w:uiPriority w:val="9"/>
    <w:semiHidden/>
    <w:rsid w:val="00572C53"/>
    <w:rPr>
      <w:sz w:val="24"/>
      <w:szCs w:val="24"/>
    </w:rPr>
  </w:style>
  <w:style w:type="character" w:customStyle="1" w:styleId="Heading8Char">
    <w:name w:val="Heading 8 Char"/>
    <w:basedOn w:val="DefaultParagraphFont"/>
    <w:link w:val="Heading8"/>
    <w:uiPriority w:val="9"/>
    <w:semiHidden/>
    <w:rsid w:val="00572C53"/>
    <w:rPr>
      <w:i/>
      <w:iCs/>
      <w:sz w:val="24"/>
      <w:szCs w:val="24"/>
    </w:rPr>
  </w:style>
  <w:style w:type="character" w:customStyle="1" w:styleId="Heading9Char">
    <w:name w:val="Heading 9 Char"/>
    <w:basedOn w:val="DefaultParagraphFont"/>
    <w:link w:val="Heading9"/>
    <w:uiPriority w:val="9"/>
    <w:semiHidden/>
    <w:rsid w:val="00572C53"/>
    <w:rPr>
      <w:rFonts w:asciiTheme="majorHAnsi" w:eastAsiaTheme="majorEastAsia" w:hAnsiTheme="majorHAnsi"/>
    </w:rPr>
  </w:style>
  <w:style w:type="paragraph" w:styleId="Title">
    <w:name w:val="Title"/>
    <w:basedOn w:val="Normal"/>
    <w:next w:val="Normal"/>
    <w:link w:val="TitleChar"/>
    <w:uiPriority w:val="10"/>
    <w:qFormat/>
    <w:rsid w:val="00572C53"/>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72C53"/>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72C53"/>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72C53"/>
    <w:rPr>
      <w:rFonts w:asciiTheme="majorHAnsi" w:eastAsiaTheme="majorEastAsia" w:hAnsiTheme="majorHAnsi"/>
      <w:sz w:val="24"/>
      <w:szCs w:val="24"/>
    </w:rPr>
  </w:style>
  <w:style w:type="character" w:styleId="Strong">
    <w:name w:val="Strong"/>
    <w:basedOn w:val="DefaultParagraphFont"/>
    <w:uiPriority w:val="22"/>
    <w:qFormat/>
    <w:rsid w:val="00572C53"/>
    <w:rPr>
      <w:b/>
      <w:bCs/>
    </w:rPr>
  </w:style>
  <w:style w:type="character" w:styleId="Emphasis">
    <w:name w:val="Emphasis"/>
    <w:basedOn w:val="DefaultParagraphFont"/>
    <w:uiPriority w:val="20"/>
    <w:qFormat/>
    <w:rsid w:val="00572C53"/>
    <w:rPr>
      <w:rFonts w:asciiTheme="minorHAnsi" w:hAnsiTheme="minorHAnsi"/>
      <w:b/>
      <w:i/>
      <w:iCs/>
    </w:rPr>
  </w:style>
  <w:style w:type="paragraph" w:styleId="NoSpacing">
    <w:name w:val="No Spacing"/>
    <w:basedOn w:val="Normal"/>
    <w:uiPriority w:val="1"/>
    <w:qFormat/>
    <w:rsid w:val="00572C53"/>
    <w:rPr>
      <w:szCs w:val="32"/>
    </w:rPr>
  </w:style>
  <w:style w:type="paragraph" w:styleId="ListParagraph">
    <w:name w:val="List Paragraph"/>
    <w:basedOn w:val="Normal"/>
    <w:uiPriority w:val="34"/>
    <w:qFormat/>
    <w:rsid w:val="00572C53"/>
    <w:pPr>
      <w:ind w:left="720"/>
      <w:contextualSpacing/>
    </w:pPr>
  </w:style>
  <w:style w:type="paragraph" w:styleId="Quote">
    <w:name w:val="Quote"/>
    <w:basedOn w:val="Normal"/>
    <w:next w:val="Normal"/>
    <w:link w:val="QuoteChar"/>
    <w:uiPriority w:val="29"/>
    <w:qFormat/>
    <w:rsid w:val="00572C53"/>
    <w:rPr>
      <w:i/>
    </w:rPr>
  </w:style>
  <w:style w:type="character" w:customStyle="1" w:styleId="QuoteChar">
    <w:name w:val="Quote Char"/>
    <w:basedOn w:val="DefaultParagraphFont"/>
    <w:link w:val="Quote"/>
    <w:uiPriority w:val="29"/>
    <w:rsid w:val="00572C53"/>
    <w:rPr>
      <w:i/>
      <w:sz w:val="24"/>
      <w:szCs w:val="24"/>
    </w:rPr>
  </w:style>
  <w:style w:type="paragraph" w:styleId="IntenseQuote">
    <w:name w:val="Intense Quote"/>
    <w:basedOn w:val="Normal"/>
    <w:next w:val="Normal"/>
    <w:link w:val="IntenseQuoteChar"/>
    <w:uiPriority w:val="30"/>
    <w:qFormat/>
    <w:rsid w:val="00572C53"/>
    <w:pPr>
      <w:ind w:left="720" w:right="720"/>
    </w:pPr>
    <w:rPr>
      <w:b/>
      <w:i/>
      <w:szCs w:val="22"/>
    </w:rPr>
  </w:style>
  <w:style w:type="character" w:customStyle="1" w:styleId="IntenseQuoteChar">
    <w:name w:val="Intense Quote Char"/>
    <w:basedOn w:val="DefaultParagraphFont"/>
    <w:link w:val="IntenseQuote"/>
    <w:uiPriority w:val="30"/>
    <w:rsid w:val="00572C53"/>
    <w:rPr>
      <w:b/>
      <w:i/>
      <w:sz w:val="24"/>
    </w:rPr>
  </w:style>
  <w:style w:type="character" w:styleId="SubtleEmphasis">
    <w:name w:val="Subtle Emphasis"/>
    <w:uiPriority w:val="19"/>
    <w:qFormat/>
    <w:rsid w:val="00572C53"/>
    <w:rPr>
      <w:i/>
      <w:color w:val="5A5A5A" w:themeColor="text1" w:themeTint="A5"/>
    </w:rPr>
  </w:style>
  <w:style w:type="character" w:styleId="IntenseEmphasis">
    <w:name w:val="Intense Emphasis"/>
    <w:basedOn w:val="DefaultParagraphFont"/>
    <w:uiPriority w:val="21"/>
    <w:qFormat/>
    <w:rsid w:val="00572C53"/>
    <w:rPr>
      <w:b/>
      <w:i/>
      <w:sz w:val="24"/>
      <w:szCs w:val="24"/>
      <w:u w:val="single"/>
    </w:rPr>
  </w:style>
  <w:style w:type="character" w:styleId="SubtleReference">
    <w:name w:val="Subtle Reference"/>
    <w:basedOn w:val="DefaultParagraphFont"/>
    <w:uiPriority w:val="31"/>
    <w:qFormat/>
    <w:rsid w:val="00572C53"/>
    <w:rPr>
      <w:sz w:val="24"/>
      <w:szCs w:val="24"/>
      <w:u w:val="single"/>
    </w:rPr>
  </w:style>
  <w:style w:type="character" w:styleId="IntenseReference">
    <w:name w:val="Intense Reference"/>
    <w:basedOn w:val="DefaultParagraphFont"/>
    <w:uiPriority w:val="32"/>
    <w:qFormat/>
    <w:rsid w:val="00572C53"/>
    <w:rPr>
      <w:b/>
      <w:sz w:val="24"/>
      <w:u w:val="single"/>
    </w:rPr>
  </w:style>
  <w:style w:type="character" w:styleId="BookTitle">
    <w:name w:val="Book Title"/>
    <w:basedOn w:val="DefaultParagraphFont"/>
    <w:uiPriority w:val="33"/>
    <w:qFormat/>
    <w:rsid w:val="00572C5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2C53"/>
    <w:pPr>
      <w:outlineLvl w:val="9"/>
    </w:pPr>
  </w:style>
  <w:style w:type="paragraph" w:styleId="Header">
    <w:name w:val="header"/>
    <w:basedOn w:val="Normal"/>
    <w:link w:val="HeaderChar"/>
    <w:uiPriority w:val="99"/>
    <w:unhideWhenUsed/>
    <w:rsid w:val="00A36146"/>
    <w:pPr>
      <w:tabs>
        <w:tab w:val="center" w:pos="4513"/>
        <w:tab w:val="right" w:pos="9026"/>
      </w:tabs>
    </w:pPr>
    <w:rPr>
      <w:lang w:val="en-GB" w:eastAsia="en-GB"/>
    </w:rPr>
  </w:style>
  <w:style w:type="character" w:customStyle="1" w:styleId="HeaderChar">
    <w:name w:val="Header Char"/>
    <w:basedOn w:val="DefaultParagraphFont"/>
    <w:link w:val="Header"/>
    <w:uiPriority w:val="99"/>
    <w:rsid w:val="00A36146"/>
    <w:rPr>
      <w:rFonts w:ascii="Times New Roman" w:eastAsia="Times New Roman" w:hAnsi="Times New Roman"/>
      <w:kern w:val="0"/>
      <w:sz w:val="24"/>
      <w:szCs w:val="24"/>
      <w:lang w:eastAsia="en-GB"/>
      <w14:ligatures w14:val="none"/>
    </w:rPr>
  </w:style>
  <w:style w:type="character" w:styleId="PageNumber">
    <w:name w:val="page number"/>
    <w:basedOn w:val="DefaultParagraphFont"/>
    <w:uiPriority w:val="99"/>
    <w:semiHidden/>
    <w:unhideWhenUsed/>
    <w:rsid w:val="00A36146"/>
  </w:style>
  <w:style w:type="paragraph" w:styleId="Footer">
    <w:name w:val="footer"/>
    <w:basedOn w:val="Normal"/>
    <w:link w:val="FooterChar"/>
    <w:uiPriority w:val="99"/>
    <w:unhideWhenUsed/>
    <w:rsid w:val="00A36146"/>
    <w:pPr>
      <w:tabs>
        <w:tab w:val="center" w:pos="4513"/>
        <w:tab w:val="right" w:pos="9026"/>
      </w:tabs>
    </w:pPr>
    <w:rPr>
      <w:lang w:val="en-GB" w:eastAsia="en-GB"/>
    </w:rPr>
  </w:style>
  <w:style w:type="character" w:customStyle="1" w:styleId="FooterChar">
    <w:name w:val="Footer Char"/>
    <w:basedOn w:val="DefaultParagraphFont"/>
    <w:link w:val="Footer"/>
    <w:uiPriority w:val="99"/>
    <w:rsid w:val="00A36146"/>
    <w:rPr>
      <w:rFonts w:ascii="Times New Roman" w:eastAsia="Times New Roman" w:hAnsi="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government/publications/the-health-and-social-care-act-2008-code-of-practice-on-the-prevention-and-control-of-infections-and-related-guida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9FD02.8F383E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585</Words>
  <Characters>3341</Characters>
  <Application>Microsoft Office Word</Application>
  <DocSecurity>4</DocSecurity>
  <Lines>27</Lines>
  <Paragraphs>7</Paragraphs>
  <ScaleCrop>false</ScaleCrop>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Stephanie (UNSWORTH GROUP PRACTICE)</dc:creator>
  <cp:keywords/>
  <dc:description/>
  <cp:lastModifiedBy>LISTER, Rebecca (UNSWORTH GROUP PRACTICE)</cp:lastModifiedBy>
  <cp:revision>2</cp:revision>
  <dcterms:created xsi:type="dcterms:W3CDTF">2025-11-27T13:56:00Z</dcterms:created>
  <dcterms:modified xsi:type="dcterms:W3CDTF">2025-11-27T13:56:00Z</dcterms:modified>
</cp:coreProperties>
</file>